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ESTIMATE</w:t>
      </w:r>
    </w:p>
    <w:tbl>
      <w:tblPr>
        <w:tblW w:type="auto" w:w="0"/>
        <w:jc w:val="left"/>
        <w:tblLook w:firstColumn="1" w:firstRow="1" w:lastColumn="0" w:lastRow="0" w:noHBand="0" w:noVBand="1" w:val="04A0"/>
      </w:tblPr>
      <w:tblGrid>
        <w:gridCol w:w="4986"/>
        <w:gridCol w:w="4986"/>
      </w:tblGrid>
      <w:tr>
        <w:tc>
          <w:tcPr>
            <w:tcW w:type="dxa" w:w="4986"/>
          </w:tcPr>
          <w:p>
            <w:r>
              <w:rPr>
                <w:b/>
              </w:rPr>
              <w:t>Estimate number</w:t>
            </w:r>
          </w:p>
        </w:tc>
        <w:tc>
          <w:tcPr>
            <w:tcW w:type="dxa" w:w="4986"/>
          </w:tcPr>
          <w:p>
            <w:r>
              <w:t>[EST-0001]</w:t>
            </w:r>
          </w:p>
        </w:tc>
      </w:tr>
      <w:tr>
        <w:tc>
          <w:tcPr>
            <w:tcW w:type="dxa" w:w="4986"/>
          </w:tcPr>
          <w:p>
            <w:r>
              <w:rPr>
                <w:b/>
              </w:rPr>
              <w:t>Date</w:t>
            </w:r>
          </w:p>
        </w:tc>
        <w:tc>
          <w:tcPr>
            <w:tcW w:type="dxa" w:w="4986"/>
          </w:tcPr>
          <w:p>
            <w:r>
              <w:t>[Date]</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Prepare and paint walls and ceilings, per room</w:t>
            </w:r>
          </w:p>
        </w:tc>
        <w:tc>
          <w:tcPr>
            <w:tcW w:type="dxa" w:w="2493"/>
          </w:tcPr>
          <w:p/>
        </w:tc>
        <w:tc>
          <w:tcPr>
            <w:tcW w:type="dxa" w:w="2493"/>
          </w:tcPr>
          <w:p/>
        </w:tc>
        <w:tc>
          <w:tcPr>
            <w:tcW w:type="dxa" w:w="2493"/>
          </w:tcPr>
          <w:p/>
        </w:tc>
      </w:tr>
      <w:tr>
        <w:tc>
          <w:tcPr>
            <w:tcW w:type="dxa" w:w="2493"/>
          </w:tcPr>
          <w:p>
            <w:r>
              <w:t>Gloss woodwork, doors and frames</w:t>
            </w:r>
          </w:p>
        </w:tc>
        <w:tc>
          <w:tcPr>
            <w:tcW w:type="dxa" w:w="2493"/>
          </w:tcPr>
          <w:p/>
        </w:tc>
        <w:tc>
          <w:tcPr>
            <w:tcW w:type="dxa" w:w="2493"/>
          </w:tcPr>
          <w:p/>
        </w:tc>
        <w:tc>
          <w:tcPr>
            <w:tcW w:type="dxa" w:w="2493"/>
          </w:tcPr>
          <w:p/>
        </w:tc>
      </w:tr>
      <w:tr>
        <w:tc>
          <w:tcPr>
            <w:tcW w:type="dxa" w:w="2493"/>
          </w:tcPr>
          <w:p>
            <w:r>
              <w:t>Wallpaper hanging, per roll</w:t>
            </w:r>
          </w:p>
        </w:tc>
        <w:tc>
          <w:tcPr>
            <w:tcW w:type="dxa" w:w="2493"/>
          </w:tcPr>
          <w:p/>
        </w:tc>
        <w:tc>
          <w:tcPr>
            <w:tcW w:type="dxa" w:w="2493"/>
          </w:tcPr>
          <w:p/>
        </w:tc>
        <w:tc>
          <w:tcPr>
            <w:tcW w:type="dxa" w:w="2493"/>
          </w:tcPr>
          <w:p/>
        </w:tc>
      </w:tr>
      <w:tr>
        <w:tc>
          <w:tcPr>
            <w:tcW w:type="dxa" w:w="2493"/>
          </w:tcPr>
          <w:p>
            <w:r>
              <w:t>Exterior masonry painting</w:t>
            </w:r>
          </w:p>
        </w:tc>
        <w:tc>
          <w:tcPr>
            <w:tcW w:type="dxa" w:w="2493"/>
          </w:tcPr>
          <w:p/>
        </w:tc>
        <w:tc>
          <w:tcPr>
            <w:tcW w:type="dxa" w:w="2493"/>
          </w:tcPr>
          <w:p/>
        </w:tc>
        <w:tc>
          <w:tcPr>
            <w:tcW w:type="dxa" w:w="2493"/>
          </w:tcPr>
          <w:p/>
        </w:tc>
      </w:tr>
      <w:tr>
        <w:tc>
          <w:tcPr>
            <w:tcW w:type="dxa" w:w="2493"/>
          </w:tcPr>
          <w:p>
            <w:r>
              <w:t>Filling, caulking and preparation</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is an estimate, not a fixed quotation. The final price may vary if unforeseen work is required once the job is under way. Any significant change will be discussed and agreed with you before extra work is carried out.</w:t>
      </w:r>
    </w:p>
    <w:p>
      <w:pPr>
        <w:jc w:val="center"/>
      </w:pPr>
      <w:r>
        <w:rPr>
          <w:sz w:val="16"/>
        </w:rPr>
        <w:t>Painter and Decorator estimate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