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ESTIMATE</w:t>
      </w:r>
    </w:p>
    <w:tbl>
      <w:tblPr>
        <w:tblW w:type="auto" w:w="0"/>
        <w:jc w:val="left"/>
        <w:tblLook w:firstColumn="1" w:firstRow="1" w:lastColumn="0" w:lastRow="0" w:noHBand="0" w:noVBand="1" w:val="04A0"/>
      </w:tblPr>
      <w:tblGrid>
        <w:gridCol w:w="4986"/>
        <w:gridCol w:w="4986"/>
      </w:tblGrid>
      <w:tr>
        <w:tc>
          <w:tcPr>
            <w:tcW w:type="dxa" w:w="4986"/>
          </w:tcPr>
          <w:p>
            <w:r>
              <w:rPr>
                <w:b/>
              </w:rPr>
              <w:t>Estimate number</w:t>
            </w:r>
          </w:p>
        </w:tc>
        <w:tc>
          <w:tcPr>
            <w:tcW w:type="dxa" w:w="4986"/>
          </w:tcPr>
          <w:p>
            <w:r>
              <w:t>[EST-0001]</w:t>
            </w:r>
          </w:p>
        </w:tc>
      </w:tr>
      <w:tr>
        <w:tc>
          <w:tcPr>
            <w:tcW w:type="dxa" w:w="4986"/>
          </w:tcPr>
          <w:p>
            <w:r>
              <w:rPr>
                <w:b/>
              </w:rPr>
              <w:t>Date</w:t>
            </w:r>
          </w:p>
        </w:tc>
        <w:tc>
          <w:tcPr>
            <w:tcW w:type="dxa" w:w="4986"/>
          </w:tcPr>
          <w:p>
            <w:r>
              <w:t>[Date]</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Supply and lay turf, per m2</w:t>
            </w:r>
          </w:p>
        </w:tc>
        <w:tc>
          <w:tcPr>
            <w:tcW w:type="dxa" w:w="2493"/>
          </w:tcPr>
          <w:p/>
        </w:tc>
        <w:tc>
          <w:tcPr>
            <w:tcW w:type="dxa" w:w="2493"/>
          </w:tcPr>
          <w:p/>
        </w:tc>
        <w:tc>
          <w:tcPr>
            <w:tcW w:type="dxa" w:w="2493"/>
          </w:tcPr>
          <w:p/>
        </w:tc>
      </w:tr>
      <w:tr>
        <w:tc>
          <w:tcPr>
            <w:tcW w:type="dxa" w:w="2493"/>
          </w:tcPr>
          <w:p>
            <w:r>
              <w:t>Supply and lay patio paving</w:t>
            </w:r>
          </w:p>
        </w:tc>
        <w:tc>
          <w:tcPr>
            <w:tcW w:type="dxa" w:w="2493"/>
          </w:tcPr>
          <w:p/>
        </w:tc>
        <w:tc>
          <w:tcPr>
            <w:tcW w:type="dxa" w:w="2493"/>
          </w:tcPr>
          <w:p/>
        </w:tc>
        <w:tc>
          <w:tcPr>
            <w:tcW w:type="dxa" w:w="2493"/>
          </w:tcPr>
          <w:p/>
        </w:tc>
      </w:tr>
      <w:tr>
        <w:tc>
          <w:tcPr>
            <w:tcW w:type="dxa" w:w="2493"/>
          </w:tcPr>
          <w:p>
            <w:r>
              <w:t>Supply and erect fence panels</w:t>
            </w:r>
          </w:p>
        </w:tc>
        <w:tc>
          <w:tcPr>
            <w:tcW w:type="dxa" w:w="2493"/>
          </w:tcPr>
          <w:p/>
        </w:tc>
        <w:tc>
          <w:tcPr>
            <w:tcW w:type="dxa" w:w="2493"/>
          </w:tcPr>
          <w:p/>
        </w:tc>
        <w:tc>
          <w:tcPr>
            <w:tcW w:type="dxa" w:w="2493"/>
          </w:tcPr>
          <w:p/>
        </w:tc>
      </w:tr>
      <w:tr>
        <w:tc>
          <w:tcPr>
            <w:tcW w:type="dxa" w:w="2493"/>
          </w:tcPr>
          <w:p>
            <w:r>
              <w:t>Garden clearance and waste removal</w:t>
            </w:r>
          </w:p>
        </w:tc>
        <w:tc>
          <w:tcPr>
            <w:tcW w:type="dxa" w:w="2493"/>
          </w:tcPr>
          <w:p/>
        </w:tc>
        <w:tc>
          <w:tcPr>
            <w:tcW w:type="dxa" w:w="2493"/>
          </w:tcPr>
          <w:p/>
        </w:tc>
        <w:tc>
          <w:tcPr>
            <w:tcW w:type="dxa" w:w="2493"/>
          </w:tcPr>
          <w:p/>
        </w:tc>
      </w:tr>
      <w:tr>
        <w:tc>
          <w:tcPr>
            <w:tcW w:type="dxa" w:w="2493"/>
          </w:tcPr>
          <w:p>
            <w:r>
              <w:t>Topsoil and planting scheme</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is an estimate, not a fixed quotation. The final price may vary if unforeseen work is required once the job is under way. Any significant change will be discussed and agreed with you before extra work is carried out.</w:t>
      </w:r>
    </w:p>
    <w:p>
      <w:pPr>
        <w:jc w:val="center"/>
      </w:pPr>
      <w:r>
        <w:rPr>
          <w:sz w:val="16"/>
        </w:rPr>
        <w:t>Landscaper estimate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