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Consumer unit replacement (18th Edition)</w:t>
            </w:r>
          </w:p>
        </w:tc>
        <w:tc>
          <w:tcPr>
            <w:tcW w:type="dxa" w:w="2493"/>
          </w:tcPr>
          <w:p/>
        </w:tc>
        <w:tc>
          <w:tcPr>
            <w:tcW w:type="dxa" w:w="2493"/>
          </w:tcPr>
          <w:p/>
        </w:tc>
        <w:tc>
          <w:tcPr>
            <w:tcW w:type="dxa" w:w="2493"/>
          </w:tcPr>
          <w:p/>
        </w:tc>
      </w:tr>
      <w:tr>
        <w:tc>
          <w:tcPr>
            <w:tcW w:type="dxa" w:w="2493"/>
          </w:tcPr>
          <w:p>
            <w:r>
              <w:t>First fix wiring, per room</w:t>
            </w:r>
          </w:p>
        </w:tc>
        <w:tc>
          <w:tcPr>
            <w:tcW w:type="dxa" w:w="2493"/>
          </w:tcPr>
          <w:p/>
        </w:tc>
        <w:tc>
          <w:tcPr>
            <w:tcW w:type="dxa" w:w="2493"/>
          </w:tcPr>
          <w:p/>
        </w:tc>
        <w:tc>
          <w:tcPr>
            <w:tcW w:type="dxa" w:w="2493"/>
          </w:tcPr>
          <w:p/>
        </w:tc>
      </w:tr>
      <w:tr>
        <w:tc>
          <w:tcPr>
            <w:tcW w:type="dxa" w:w="2493"/>
          </w:tcPr>
          <w:p>
            <w:r>
              <w:t>Second fix: sockets and switches</w:t>
            </w:r>
          </w:p>
        </w:tc>
        <w:tc>
          <w:tcPr>
            <w:tcW w:type="dxa" w:w="2493"/>
          </w:tcPr>
          <w:p/>
        </w:tc>
        <w:tc>
          <w:tcPr>
            <w:tcW w:type="dxa" w:w="2493"/>
          </w:tcPr>
          <w:p/>
        </w:tc>
        <w:tc>
          <w:tcPr>
            <w:tcW w:type="dxa" w:w="2493"/>
          </w:tcPr>
          <w:p/>
        </w:tc>
      </w:tr>
      <w:tr>
        <w:tc>
          <w:tcPr>
            <w:tcW w:type="dxa" w:w="2493"/>
          </w:tcPr>
          <w:p>
            <w:r>
              <w:t>EICR condition report</w:t>
            </w:r>
          </w:p>
        </w:tc>
        <w:tc>
          <w:tcPr>
            <w:tcW w:type="dxa" w:w="2493"/>
          </w:tcPr>
          <w:p/>
        </w:tc>
        <w:tc>
          <w:tcPr>
            <w:tcW w:type="dxa" w:w="2493"/>
          </w:tcPr>
          <w:p/>
        </w:tc>
        <w:tc>
          <w:tcPr>
            <w:tcW w:type="dxa" w:w="2493"/>
          </w:tcPr>
          <w:p/>
        </w:tc>
      </w:tr>
      <w:tr>
        <w:tc>
          <w:tcPr>
            <w:tcW w:type="dxa" w:w="2493"/>
          </w:tcPr>
          <w:p>
            <w:r>
              <w:t>Install outdoor security lighting</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Electrician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